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2C" w:rsidRDefault="005D612C" w:rsidP="005D612C">
      <w:pPr>
        <w:pStyle w:val="a3"/>
        <w:jc w:val="center"/>
      </w:pPr>
      <w:r>
        <w:rPr>
          <w:noProof/>
        </w:rPr>
        <w:drawing>
          <wp:inline distT="0" distB="0" distL="0" distR="0">
            <wp:extent cx="3752850" cy="8001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850" cy="800100"/>
                    </a:xfrm>
                    <a:prstGeom prst="rect">
                      <a:avLst/>
                    </a:prstGeom>
                    <a:noFill/>
                    <a:ln>
                      <a:noFill/>
                    </a:ln>
                  </pic:spPr>
                </pic:pic>
              </a:graphicData>
            </a:graphic>
          </wp:inline>
        </w:drawing>
      </w:r>
    </w:p>
    <w:p w:rsidR="004A2A50" w:rsidRDefault="005D612C" w:rsidP="005D612C">
      <w:pPr>
        <w:jc w:val="center"/>
        <w:rPr>
          <w:rFonts w:hint="cs"/>
          <w:rtl/>
        </w:rPr>
      </w:pPr>
    </w:p>
    <w:p w:rsidR="005D612C" w:rsidRPr="00204817" w:rsidRDefault="005D612C" w:rsidP="005D612C">
      <w:pPr>
        <w:jc w:val="center"/>
        <w:rPr>
          <w:rFonts w:hint="cs"/>
          <w:b/>
          <w:bCs/>
          <w:sz w:val="28"/>
          <w:szCs w:val="28"/>
          <w:u w:val="single"/>
          <w:rtl/>
        </w:rPr>
      </w:pPr>
      <w:r w:rsidRPr="00204817">
        <w:rPr>
          <w:rFonts w:hint="cs"/>
          <w:b/>
          <w:bCs/>
          <w:sz w:val="28"/>
          <w:szCs w:val="28"/>
          <w:u w:val="single"/>
          <w:rtl/>
        </w:rPr>
        <w:t>סקירת ספרות</w:t>
      </w:r>
    </w:p>
    <w:p w:rsidR="005D612C" w:rsidRDefault="005D612C" w:rsidP="005D612C">
      <w:pPr>
        <w:spacing w:line="360" w:lineRule="auto"/>
        <w:jc w:val="both"/>
        <w:rPr>
          <w:rFonts w:hint="cs"/>
          <w:b/>
          <w:bCs/>
          <w:u w:val="single"/>
          <w:rtl/>
        </w:rPr>
      </w:pPr>
    </w:p>
    <w:p w:rsidR="005D612C" w:rsidRPr="00EB5A01" w:rsidRDefault="005D612C" w:rsidP="005D612C">
      <w:pPr>
        <w:spacing w:line="360" w:lineRule="auto"/>
        <w:jc w:val="both"/>
        <w:rPr>
          <w:rFonts w:hint="cs"/>
          <w:rtl/>
        </w:rPr>
      </w:pPr>
      <w:r>
        <w:rPr>
          <w:rFonts w:hint="cs"/>
          <w:rtl/>
        </w:rPr>
        <w:t xml:space="preserve">פרק זה כולל רשימת קריאה ראשונית המומלצת לתלמידים המבצעים מטלת ביצוע בנושא גזענות. תלמידים המעוניינים בהרחבת רשימת הקריאה או מבקשים חומרי קריאה בנושאים ספציפיים הנוגעים לבעיה האזרחית בה בחרו להתמקד יוכלו לפנות למחלקת החינוך באגודה לזכויות האזרח ולקבל הכוונה וסיוע. </w:t>
      </w:r>
    </w:p>
    <w:p w:rsidR="005D612C" w:rsidRDefault="005D612C" w:rsidP="005D612C">
      <w:pPr>
        <w:spacing w:line="360" w:lineRule="auto"/>
        <w:rPr>
          <w:rFonts w:hint="cs"/>
          <w:b/>
          <w:bCs/>
          <w:u w:val="single"/>
          <w:rtl/>
        </w:rPr>
      </w:pPr>
    </w:p>
    <w:p w:rsidR="005D612C" w:rsidRDefault="005D612C" w:rsidP="005D612C">
      <w:pPr>
        <w:spacing w:line="360" w:lineRule="auto"/>
        <w:rPr>
          <w:rFonts w:hint="cs"/>
          <w:b/>
          <w:bCs/>
          <w:u w:val="single"/>
          <w:rtl/>
        </w:rPr>
      </w:pPr>
      <w:r>
        <w:rPr>
          <w:rFonts w:hint="cs"/>
          <w:b/>
          <w:bCs/>
          <w:u w:val="single"/>
          <w:rtl/>
        </w:rPr>
        <w:t>פריטי קריאה מומלצים</w:t>
      </w:r>
    </w:p>
    <w:p w:rsidR="005D612C" w:rsidRDefault="005D612C" w:rsidP="005D612C">
      <w:pPr>
        <w:autoSpaceDE w:val="0"/>
        <w:autoSpaceDN w:val="0"/>
        <w:adjustRightInd w:val="0"/>
        <w:spacing w:line="360" w:lineRule="auto"/>
        <w:jc w:val="both"/>
        <w:rPr>
          <w:rFonts w:ascii="Arial" w:hAnsi="Arial" w:hint="cs"/>
          <w:rtl/>
        </w:rPr>
      </w:pPr>
    </w:p>
    <w:p w:rsidR="005D612C" w:rsidRPr="00C13895" w:rsidRDefault="005D612C" w:rsidP="005D612C">
      <w:pPr>
        <w:numPr>
          <w:ilvl w:val="0"/>
          <w:numId w:val="2"/>
        </w:numPr>
        <w:autoSpaceDE w:val="0"/>
        <w:autoSpaceDN w:val="0"/>
        <w:adjustRightInd w:val="0"/>
        <w:spacing w:after="0" w:line="240" w:lineRule="auto"/>
        <w:jc w:val="both"/>
        <w:rPr>
          <w:rFonts w:hint="cs"/>
          <w:rtl/>
        </w:rPr>
      </w:pPr>
      <w:r>
        <w:rPr>
          <w:rFonts w:ascii="Arial" w:hAnsi="Arial" w:hint="cs"/>
          <w:rtl/>
        </w:rPr>
        <w:t xml:space="preserve">ממי, א' </w:t>
      </w:r>
      <w:r w:rsidRPr="00C13895">
        <w:rPr>
          <w:rFonts w:ascii="Arial" w:hAnsi="Arial" w:hint="cs"/>
          <w:rtl/>
        </w:rPr>
        <w:t>(19</w:t>
      </w:r>
      <w:r>
        <w:rPr>
          <w:rFonts w:ascii="Arial" w:hAnsi="Arial" w:hint="cs"/>
          <w:rtl/>
        </w:rPr>
        <w:t>98</w:t>
      </w:r>
      <w:r w:rsidRPr="00C13895">
        <w:rPr>
          <w:rFonts w:ascii="Arial" w:hAnsi="Arial" w:hint="cs"/>
          <w:rtl/>
        </w:rPr>
        <w:t>)</w:t>
      </w:r>
      <w:r>
        <w:rPr>
          <w:rFonts w:ascii="Arial" w:hAnsi="Arial" w:hint="cs"/>
          <w:b/>
          <w:bCs/>
          <w:rtl/>
        </w:rPr>
        <w:t xml:space="preserve"> הגזענות. </w:t>
      </w:r>
      <w:r>
        <w:rPr>
          <w:rFonts w:hint="cs"/>
          <w:rtl/>
        </w:rPr>
        <w:t>הוצאת כרמל (עריכה לשונית: רחל לקט)</w:t>
      </w:r>
    </w:p>
    <w:p w:rsidR="005D612C" w:rsidRPr="00062D30" w:rsidRDefault="005D612C" w:rsidP="005D612C">
      <w:pPr>
        <w:autoSpaceDE w:val="0"/>
        <w:autoSpaceDN w:val="0"/>
        <w:adjustRightInd w:val="0"/>
        <w:jc w:val="both"/>
        <w:rPr>
          <w:rFonts w:ascii="Arial" w:hAnsi="Arial" w:hint="cs"/>
        </w:rPr>
      </w:pPr>
    </w:p>
    <w:p w:rsidR="005D612C" w:rsidRDefault="005D612C" w:rsidP="005D612C">
      <w:pPr>
        <w:numPr>
          <w:ilvl w:val="0"/>
          <w:numId w:val="2"/>
        </w:numPr>
        <w:spacing w:after="0" w:line="240" w:lineRule="auto"/>
        <w:rPr>
          <w:rFonts w:hint="cs"/>
        </w:rPr>
      </w:pPr>
      <w:r w:rsidRPr="00C13895">
        <w:rPr>
          <w:rtl/>
        </w:rPr>
        <w:t>שנהב</w:t>
      </w:r>
      <w:r>
        <w:rPr>
          <w:rFonts w:hint="cs"/>
          <w:rtl/>
        </w:rPr>
        <w:t>, י'</w:t>
      </w:r>
      <w:r w:rsidRPr="00C13895">
        <w:rPr>
          <w:rtl/>
        </w:rPr>
        <w:t xml:space="preserve"> ויונה</w:t>
      </w:r>
      <w:r>
        <w:rPr>
          <w:rFonts w:hint="cs"/>
          <w:rtl/>
        </w:rPr>
        <w:t>, י'</w:t>
      </w:r>
      <w:r w:rsidRPr="00C13895">
        <w:rPr>
          <w:rtl/>
        </w:rPr>
        <w:t xml:space="preserve"> (עורכים) (2008),</w:t>
      </w:r>
      <w:r w:rsidRPr="00062D30">
        <w:rPr>
          <w:b/>
          <w:bCs/>
          <w:rtl/>
        </w:rPr>
        <w:t xml:space="preserve"> גזענות בישראל. </w:t>
      </w:r>
      <w:r w:rsidRPr="00C13895">
        <w:rPr>
          <w:rtl/>
        </w:rPr>
        <w:t xml:space="preserve">תל אביב וירושלים: הקיבוץ המאוחד ומכון </w:t>
      </w:r>
      <w:proofErr w:type="spellStart"/>
      <w:r w:rsidRPr="00C13895">
        <w:rPr>
          <w:rtl/>
        </w:rPr>
        <w:t>ון</w:t>
      </w:r>
      <w:proofErr w:type="spellEnd"/>
      <w:r w:rsidRPr="00C13895">
        <w:rPr>
          <w:rtl/>
        </w:rPr>
        <w:t xml:space="preserve"> ליר בירושלים</w:t>
      </w:r>
      <w:r>
        <w:rPr>
          <w:rFonts w:hint="cs"/>
          <w:rtl/>
        </w:rPr>
        <w:t>.</w:t>
      </w:r>
    </w:p>
    <w:p w:rsidR="005D612C" w:rsidRDefault="005D612C" w:rsidP="005D612C">
      <w:pPr>
        <w:rPr>
          <w:rFonts w:hint="cs"/>
          <w:rtl/>
        </w:rPr>
      </w:pPr>
    </w:p>
    <w:p w:rsidR="005D612C" w:rsidRDefault="005D612C" w:rsidP="005D612C">
      <w:pPr>
        <w:ind w:left="720"/>
        <w:rPr>
          <w:rFonts w:hint="cs"/>
        </w:rPr>
      </w:pPr>
      <w:r>
        <w:rPr>
          <w:rFonts w:hint="cs"/>
          <w:rtl/>
        </w:rPr>
        <w:t xml:space="preserve">שנהב, י' ויונה, י' (2008) </w:t>
      </w:r>
      <w:r>
        <w:rPr>
          <w:rFonts w:hint="cs"/>
          <w:b/>
          <w:bCs/>
          <w:rtl/>
        </w:rPr>
        <w:t>גזענות מהי?</w:t>
      </w:r>
      <w:r>
        <w:rPr>
          <w:rFonts w:hint="cs"/>
          <w:rtl/>
        </w:rPr>
        <w:t xml:space="preserve"> בתוך </w:t>
      </w:r>
      <w:r>
        <w:rPr>
          <w:rFonts w:hint="cs"/>
          <w:b/>
          <w:bCs/>
          <w:rtl/>
        </w:rPr>
        <w:t>גזענות בישראל</w:t>
      </w:r>
      <w:r>
        <w:rPr>
          <w:rFonts w:hint="cs"/>
          <w:rtl/>
        </w:rPr>
        <w:t xml:space="preserve"> (2008) </w:t>
      </w:r>
      <w:r w:rsidRPr="00C13895">
        <w:rPr>
          <w:rtl/>
        </w:rPr>
        <w:t xml:space="preserve">תל אביב וירושלים: הקיבוץ המאוחד ומכון </w:t>
      </w:r>
      <w:proofErr w:type="spellStart"/>
      <w:r w:rsidRPr="00C13895">
        <w:rPr>
          <w:rtl/>
        </w:rPr>
        <w:t>ון</w:t>
      </w:r>
      <w:proofErr w:type="spellEnd"/>
      <w:r w:rsidRPr="00C13895">
        <w:rPr>
          <w:rtl/>
        </w:rPr>
        <w:t xml:space="preserve"> ליר בירושלים</w:t>
      </w:r>
      <w:r>
        <w:rPr>
          <w:rFonts w:hint="cs"/>
          <w:rtl/>
        </w:rPr>
        <w:t xml:space="preserve">, עמוד 13-46. </w:t>
      </w:r>
    </w:p>
    <w:p w:rsidR="005D612C" w:rsidRPr="007F4267" w:rsidRDefault="005D612C" w:rsidP="005D612C">
      <w:pPr>
        <w:rPr>
          <w:rFonts w:hint="cs"/>
          <w:rtl/>
        </w:rPr>
      </w:pPr>
    </w:p>
    <w:p w:rsidR="005D612C" w:rsidRPr="007F4267" w:rsidRDefault="005D612C" w:rsidP="005D612C">
      <w:pPr>
        <w:numPr>
          <w:ilvl w:val="0"/>
          <w:numId w:val="2"/>
        </w:numPr>
        <w:spacing w:after="0" w:line="240" w:lineRule="auto"/>
        <w:rPr>
          <w:rFonts w:hint="cs"/>
          <w:rtl/>
        </w:rPr>
      </w:pPr>
      <w:r w:rsidRPr="007F4267">
        <w:rPr>
          <w:rFonts w:hint="cs"/>
          <w:rtl/>
        </w:rPr>
        <w:t xml:space="preserve">בן </w:t>
      </w:r>
      <w:proofErr w:type="spellStart"/>
      <w:r w:rsidRPr="007F4267">
        <w:rPr>
          <w:rFonts w:hint="cs"/>
          <w:rtl/>
        </w:rPr>
        <w:t>ג'לון</w:t>
      </w:r>
      <w:proofErr w:type="spellEnd"/>
      <w:r w:rsidRPr="007F4267">
        <w:rPr>
          <w:rFonts w:hint="cs"/>
          <w:rtl/>
        </w:rPr>
        <w:t xml:space="preserve">, ט' (1998), </w:t>
      </w:r>
      <w:r w:rsidRPr="007F4267">
        <w:rPr>
          <w:rFonts w:hint="cs"/>
          <w:b/>
          <w:bCs/>
          <w:rtl/>
        </w:rPr>
        <w:t xml:space="preserve">הגזענות כפי שהסברתי לבתי. </w:t>
      </w:r>
      <w:r w:rsidRPr="007F4267">
        <w:rPr>
          <w:rFonts w:hint="cs"/>
          <w:rtl/>
        </w:rPr>
        <w:t xml:space="preserve">הוצאת בבל. </w:t>
      </w:r>
    </w:p>
    <w:p w:rsidR="005D612C" w:rsidRPr="007F4267" w:rsidRDefault="005D612C" w:rsidP="005D612C">
      <w:pPr>
        <w:rPr>
          <w:rFonts w:hint="cs"/>
          <w:rtl/>
        </w:rPr>
      </w:pPr>
    </w:p>
    <w:p w:rsidR="005D612C" w:rsidRPr="007F4267" w:rsidRDefault="005D612C" w:rsidP="005D612C">
      <w:pPr>
        <w:numPr>
          <w:ilvl w:val="0"/>
          <w:numId w:val="2"/>
        </w:numPr>
        <w:spacing w:after="0" w:line="240" w:lineRule="auto"/>
        <w:rPr>
          <w:rFonts w:hint="cs"/>
          <w:rtl/>
        </w:rPr>
      </w:pPr>
      <w:r w:rsidRPr="007F4267">
        <w:rPr>
          <w:rFonts w:hint="cs"/>
          <w:rtl/>
        </w:rPr>
        <w:t xml:space="preserve">ממי, א' (2005), </w:t>
      </w:r>
      <w:r w:rsidRPr="007F4267">
        <w:rPr>
          <w:rFonts w:hint="cs"/>
          <w:b/>
          <w:bCs/>
          <w:rtl/>
        </w:rPr>
        <w:t xml:space="preserve">דיוקן הנכבש ולפני כן דיוקן הכובש. </w:t>
      </w:r>
      <w:r w:rsidRPr="007F4267">
        <w:rPr>
          <w:rFonts w:hint="cs"/>
          <w:rtl/>
        </w:rPr>
        <w:t xml:space="preserve">הוצאת כרמל. </w:t>
      </w:r>
    </w:p>
    <w:p w:rsidR="005D612C" w:rsidRPr="007F4267" w:rsidRDefault="005D612C" w:rsidP="005D612C">
      <w:pPr>
        <w:rPr>
          <w:rFonts w:hint="cs"/>
          <w:rtl/>
        </w:rPr>
      </w:pPr>
    </w:p>
    <w:p w:rsidR="005D612C" w:rsidRPr="007F4267" w:rsidRDefault="005D612C" w:rsidP="005D612C">
      <w:pPr>
        <w:numPr>
          <w:ilvl w:val="0"/>
          <w:numId w:val="2"/>
        </w:numPr>
        <w:spacing w:after="0" w:line="240" w:lineRule="auto"/>
        <w:rPr>
          <w:rFonts w:hint="cs"/>
        </w:rPr>
      </w:pPr>
      <w:proofErr w:type="spellStart"/>
      <w:r w:rsidRPr="007F4267">
        <w:rPr>
          <w:rFonts w:hint="cs"/>
          <w:rtl/>
        </w:rPr>
        <w:t>פנון</w:t>
      </w:r>
      <w:proofErr w:type="spellEnd"/>
      <w:r w:rsidRPr="007F4267">
        <w:rPr>
          <w:rFonts w:hint="cs"/>
          <w:rtl/>
        </w:rPr>
        <w:t xml:space="preserve">, פ' (2004), </w:t>
      </w:r>
      <w:r w:rsidRPr="007F4267">
        <w:rPr>
          <w:rFonts w:hint="cs"/>
          <w:b/>
          <w:bCs/>
          <w:rtl/>
        </w:rPr>
        <w:t>עור שחור, מסכות לבנות</w:t>
      </w:r>
      <w:r w:rsidRPr="007F4267">
        <w:rPr>
          <w:rFonts w:hint="cs"/>
          <w:rtl/>
        </w:rPr>
        <w:t xml:space="preserve">. הוצאת מעריב </w:t>
      </w:r>
      <w:r w:rsidRPr="007F4267">
        <w:rPr>
          <w:rtl/>
        </w:rPr>
        <w:t>–</w:t>
      </w:r>
      <w:r w:rsidRPr="007F4267">
        <w:rPr>
          <w:rFonts w:hint="cs"/>
          <w:rtl/>
        </w:rPr>
        <w:t xml:space="preserve"> הד ארצי.</w:t>
      </w:r>
    </w:p>
    <w:p w:rsidR="005D612C" w:rsidRPr="007F4267" w:rsidRDefault="005D612C" w:rsidP="005D612C">
      <w:pPr>
        <w:rPr>
          <w:rFonts w:hint="cs"/>
          <w:rtl/>
        </w:rPr>
      </w:pPr>
    </w:p>
    <w:p w:rsidR="005D612C" w:rsidRPr="007F4267" w:rsidRDefault="005D612C" w:rsidP="005D612C">
      <w:pPr>
        <w:numPr>
          <w:ilvl w:val="0"/>
          <w:numId w:val="2"/>
        </w:numPr>
        <w:spacing w:after="0" w:line="240" w:lineRule="auto"/>
      </w:pPr>
      <w:r w:rsidRPr="007F4267">
        <w:rPr>
          <w:rFonts w:hint="cs"/>
          <w:rtl/>
        </w:rPr>
        <w:t xml:space="preserve">פגי מקינטוש, </w:t>
      </w:r>
      <w:r w:rsidRPr="007F4267">
        <w:rPr>
          <w:rFonts w:hint="cs"/>
          <w:b/>
          <w:bCs/>
          <w:rtl/>
        </w:rPr>
        <w:t>היתרון הלבן</w:t>
      </w:r>
      <w:r w:rsidRPr="007F4267">
        <w:rPr>
          <w:rFonts w:hint="cs"/>
          <w:rtl/>
        </w:rPr>
        <w:t xml:space="preserve">, תרגום לעברית (נמצא בספריית האגודה לזכויות האזרח). </w:t>
      </w:r>
      <w:r w:rsidRPr="007F4267">
        <w:rPr>
          <w:rtl/>
        </w:rPr>
        <w:br/>
      </w:r>
      <w:r w:rsidRPr="007F4267">
        <w:rPr>
          <w:rFonts w:ascii="non-serif" w:hAnsi="non-serif"/>
          <w:i/>
          <w:iCs/>
          <w:color w:val="000000"/>
          <w:sz w:val="27"/>
          <w:szCs w:val="27"/>
          <w:shd w:val="clear" w:color="auto" w:fill="FFFFFF"/>
        </w:rPr>
        <w:t>Working Paper 189, "White Privilege and Male Privilege: A Personal Account of Coming To See Correspondences through Work in Women's Studies" (1988), by Peggy McIntosh.</w:t>
      </w:r>
    </w:p>
    <w:p w:rsidR="005D612C" w:rsidRPr="007F4267" w:rsidRDefault="005D612C" w:rsidP="005D612C">
      <w:pPr>
        <w:pStyle w:val="a7"/>
        <w:spacing w:line="276" w:lineRule="auto"/>
        <w:rPr>
          <w:rFonts w:hint="cs"/>
          <w:rtl/>
        </w:rPr>
      </w:pPr>
    </w:p>
    <w:p w:rsidR="005D612C" w:rsidRDefault="005D612C" w:rsidP="005D612C">
      <w:pPr>
        <w:numPr>
          <w:ilvl w:val="0"/>
          <w:numId w:val="2"/>
        </w:numPr>
        <w:spacing w:after="0" w:line="240" w:lineRule="auto"/>
      </w:pPr>
      <w:hyperlink r:id="rId7" w:history="1">
        <w:r w:rsidRPr="007F4267">
          <w:rPr>
            <w:rtl/>
          </w:rPr>
          <w:t xml:space="preserve">בג"ץ 721/94 אל על נ. יונתן </w:t>
        </w:r>
        <w:proofErr w:type="spellStart"/>
        <w:r w:rsidRPr="007F4267">
          <w:rPr>
            <w:rtl/>
          </w:rPr>
          <w:t>דנילוביץ</w:t>
        </w:r>
        <w:proofErr w:type="spellEnd"/>
        <w:r w:rsidRPr="007F4267">
          <w:rPr>
            <w:rtl/>
          </w:rPr>
          <w:t xml:space="preserve"> ובית הדין הארצי לעבודה</w:t>
        </w:r>
      </w:hyperlink>
      <w:r w:rsidRPr="007F4267">
        <w:rPr>
          <w:rFonts w:hint="cs"/>
          <w:rtl/>
        </w:rPr>
        <w:t xml:space="preserve">, </w:t>
      </w:r>
      <w:r w:rsidRPr="007F4267">
        <w:rPr>
          <w:rtl/>
        </w:rPr>
        <w:t>פ"ד מח (5) 749</w:t>
      </w:r>
      <w:r w:rsidRPr="007F4267">
        <w:t> </w:t>
      </w:r>
      <w:r w:rsidRPr="007F4267">
        <w:rPr>
          <w:rFonts w:hint="cs"/>
          <w:rtl/>
        </w:rPr>
        <w:t>.</w:t>
      </w:r>
    </w:p>
    <w:p w:rsidR="005D612C" w:rsidRDefault="005D612C" w:rsidP="005D612C">
      <w:pPr>
        <w:pStyle w:val="a7"/>
        <w:rPr>
          <w:rFonts w:hint="cs"/>
          <w:rtl/>
        </w:rPr>
      </w:pPr>
    </w:p>
    <w:p w:rsidR="005D612C" w:rsidRPr="007F4267" w:rsidRDefault="005D612C" w:rsidP="005D612C">
      <w:pPr>
        <w:pStyle w:val="a7"/>
        <w:rPr>
          <w:rFonts w:hint="cs"/>
          <w:rtl/>
        </w:rPr>
      </w:pPr>
    </w:p>
    <w:p w:rsidR="005D612C" w:rsidRDefault="005D612C" w:rsidP="005D612C">
      <w:pPr>
        <w:numPr>
          <w:ilvl w:val="0"/>
          <w:numId w:val="2"/>
        </w:numPr>
        <w:spacing w:after="0" w:line="240" w:lineRule="auto"/>
      </w:pPr>
      <w:hyperlink r:id="rId8" w:history="1">
        <w:r w:rsidRPr="007F4267">
          <w:rPr>
            <w:rtl/>
          </w:rPr>
          <w:t xml:space="preserve">בג"ץ 6698/95 </w:t>
        </w:r>
        <w:proofErr w:type="spellStart"/>
        <w:r w:rsidRPr="007F4267">
          <w:rPr>
            <w:rtl/>
          </w:rPr>
          <w:t>עאדל</w:t>
        </w:r>
        <w:proofErr w:type="spellEnd"/>
        <w:r w:rsidRPr="007F4267">
          <w:rPr>
            <w:rtl/>
          </w:rPr>
          <w:t xml:space="preserve"> </w:t>
        </w:r>
        <w:proofErr w:type="spellStart"/>
        <w:r w:rsidRPr="007F4267">
          <w:rPr>
            <w:rtl/>
          </w:rPr>
          <w:t>קעדאן</w:t>
        </w:r>
        <w:proofErr w:type="spellEnd"/>
        <w:r w:rsidRPr="007F4267">
          <w:rPr>
            <w:rtl/>
          </w:rPr>
          <w:t xml:space="preserve"> נ' </w:t>
        </w:r>
        <w:proofErr w:type="spellStart"/>
        <w:r w:rsidRPr="007F4267">
          <w:rPr>
            <w:rtl/>
          </w:rPr>
          <w:t>מינהל</w:t>
        </w:r>
        <w:proofErr w:type="spellEnd"/>
        <w:r w:rsidRPr="007F4267">
          <w:rPr>
            <w:rtl/>
          </w:rPr>
          <w:t xml:space="preserve"> מקרקעי ישראל פ"ד נד (1) 258</w:t>
        </w:r>
      </w:hyperlink>
      <w:r w:rsidRPr="007F4267">
        <w:rPr>
          <w:rFonts w:hint="cs"/>
          <w:rtl/>
        </w:rPr>
        <w:t>.</w:t>
      </w:r>
    </w:p>
    <w:p w:rsidR="005D612C" w:rsidRDefault="005D612C" w:rsidP="005D612C">
      <w:pPr>
        <w:ind w:left="720"/>
      </w:pPr>
    </w:p>
    <w:p w:rsidR="005D612C" w:rsidRDefault="005D612C" w:rsidP="005D612C">
      <w:pPr>
        <w:numPr>
          <w:ilvl w:val="0"/>
          <w:numId w:val="2"/>
        </w:numPr>
        <w:shd w:val="clear" w:color="auto" w:fill="FFFFFF"/>
        <w:spacing w:before="100" w:beforeAutospacing="1" w:after="24" w:line="240" w:lineRule="auto"/>
        <w:ind w:right="384"/>
      </w:pPr>
      <w:hyperlink r:id="rId9" w:history="1">
        <w:r w:rsidRPr="007F4267">
          <w:rPr>
            <w:rtl/>
          </w:rPr>
          <w:t>בג"ץ 4541/94 אליס מילר נ' שר הביטחון ואח</w:t>
        </w:r>
        <w:r w:rsidRPr="007F4267">
          <w:t xml:space="preserve">', </w:t>
        </w:r>
        <w:r w:rsidRPr="007F4267">
          <w:rPr>
            <w:rtl/>
          </w:rPr>
          <w:t>פ"ד מט(4) 94 (1995</w:t>
        </w:r>
      </w:hyperlink>
      <w:r w:rsidRPr="007F4267">
        <w:t>(</w:t>
      </w:r>
      <w:r w:rsidRPr="007F4267">
        <w:rPr>
          <w:rFonts w:hint="cs"/>
          <w:rtl/>
        </w:rPr>
        <w:t>.</w:t>
      </w:r>
    </w:p>
    <w:p w:rsidR="005D612C" w:rsidRDefault="005D612C" w:rsidP="005D612C">
      <w:pPr>
        <w:pStyle w:val="a7"/>
        <w:rPr>
          <w:rFonts w:hint="cs"/>
          <w:rtl/>
        </w:rPr>
      </w:pPr>
    </w:p>
    <w:p w:rsidR="005D612C" w:rsidRDefault="005D612C" w:rsidP="005D612C">
      <w:pPr>
        <w:numPr>
          <w:ilvl w:val="0"/>
          <w:numId w:val="2"/>
        </w:numPr>
        <w:shd w:val="clear" w:color="auto" w:fill="FFFFFF"/>
        <w:spacing w:before="100" w:beforeAutospacing="1" w:after="24" w:line="240" w:lineRule="auto"/>
        <w:ind w:right="384"/>
        <w:rPr>
          <w:rFonts w:hint="cs"/>
        </w:rPr>
      </w:pPr>
      <w:r>
        <w:rPr>
          <w:rFonts w:hint="cs"/>
          <w:rtl/>
        </w:rPr>
        <w:t>חוק יסוד: כבוד האדם וחירותו.</w:t>
      </w:r>
    </w:p>
    <w:p w:rsidR="005D612C" w:rsidRDefault="005D612C" w:rsidP="005D612C">
      <w:pPr>
        <w:pStyle w:val="a7"/>
        <w:rPr>
          <w:rFonts w:hint="cs"/>
          <w:rtl/>
        </w:rPr>
      </w:pPr>
    </w:p>
    <w:p w:rsidR="005D612C" w:rsidRDefault="005D612C" w:rsidP="005D612C">
      <w:pPr>
        <w:numPr>
          <w:ilvl w:val="0"/>
          <w:numId w:val="2"/>
        </w:numPr>
        <w:shd w:val="clear" w:color="auto" w:fill="FFFFFF"/>
        <w:spacing w:before="100" w:beforeAutospacing="1" w:after="24" w:line="240" w:lineRule="auto"/>
        <w:ind w:right="384"/>
        <w:rPr>
          <w:rFonts w:hint="cs"/>
        </w:rPr>
      </w:pPr>
      <w:r>
        <w:rPr>
          <w:rFonts w:hint="cs"/>
          <w:rtl/>
        </w:rPr>
        <w:t>חוק שוויון הזדמנויות בעבודה, התשמ"ח-1988.</w:t>
      </w:r>
    </w:p>
    <w:p w:rsidR="005D612C" w:rsidRDefault="005D612C" w:rsidP="005D612C">
      <w:pPr>
        <w:pStyle w:val="a7"/>
        <w:rPr>
          <w:rFonts w:hint="cs"/>
          <w:rtl/>
        </w:rPr>
      </w:pPr>
    </w:p>
    <w:p w:rsidR="005D612C" w:rsidRDefault="005D612C" w:rsidP="005D612C">
      <w:pPr>
        <w:numPr>
          <w:ilvl w:val="0"/>
          <w:numId w:val="2"/>
        </w:numPr>
        <w:shd w:val="clear" w:color="auto" w:fill="FFFFFF"/>
        <w:spacing w:before="100" w:beforeAutospacing="1" w:after="24" w:line="240" w:lineRule="auto"/>
        <w:ind w:right="384"/>
      </w:pPr>
      <w:r>
        <w:rPr>
          <w:rFonts w:hint="cs"/>
          <w:rtl/>
        </w:rPr>
        <w:t xml:space="preserve">חוק איסור הפליה במוצרים, בשירותים ובכניסה למקומות בידור ולמקומות ציבוריים, התשס"א-2000. </w:t>
      </w:r>
    </w:p>
    <w:p w:rsidR="005D612C" w:rsidRDefault="005D612C" w:rsidP="005D612C">
      <w:pPr>
        <w:pStyle w:val="a7"/>
        <w:rPr>
          <w:rFonts w:hint="cs"/>
          <w:rtl/>
        </w:rPr>
      </w:pPr>
    </w:p>
    <w:p w:rsidR="005D612C" w:rsidRPr="007F4267" w:rsidRDefault="005D612C" w:rsidP="005D612C">
      <w:pPr>
        <w:numPr>
          <w:ilvl w:val="0"/>
          <w:numId w:val="2"/>
        </w:numPr>
        <w:shd w:val="clear" w:color="auto" w:fill="FFFFFF"/>
        <w:spacing w:before="100" w:beforeAutospacing="1" w:after="24" w:line="240" w:lineRule="auto"/>
        <w:ind w:right="384"/>
      </w:pPr>
      <w:r>
        <w:rPr>
          <w:rFonts w:hint="cs"/>
          <w:rtl/>
        </w:rPr>
        <w:t xml:space="preserve">חוק שיווי זכויות האישה, התשי"א-1951. </w:t>
      </w:r>
    </w:p>
    <w:p w:rsidR="005D612C" w:rsidRDefault="005D612C" w:rsidP="005D612C">
      <w:pPr>
        <w:spacing w:line="360" w:lineRule="auto"/>
        <w:rPr>
          <w:rFonts w:hint="cs"/>
          <w:rtl/>
        </w:rPr>
      </w:pPr>
    </w:p>
    <w:p w:rsidR="005D612C" w:rsidRDefault="005D612C" w:rsidP="005D612C">
      <w:pPr>
        <w:spacing w:line="360" w:lineRule="auto"/>
        <w:jc w:val="both"/>
        <w:rPr>
          <w:rFonts w:hint="cs"/>
          <w:b/>
          <w:bCs/>
          <w:rtl/>
        </w:rPr>
      </w:pPr>
      <w:r w:rsidRPr="00204817">
        <w:rPr>
          <w:rFonts w:hint="cs"/>
          <w:b/>
          <w:bCs/>
          <w:u w:val="single"/>
          <w:rtl/>
        </w:rPr>
        <w:t>רשימת אתרי אינטרנט רלוונטיים, בהם ניתן למצוא חומר רב לצורך סקירת הספרות</w:t>
      </w:r>
      <w:r w:rsidRPr="0057540B">
        <w:rPr>
          <w:rFonts w:hint="cs"/>
          <w:b/>
          <w:bCs/>
          <w:rtl/>
        </w:rPr>
        <w:t>:</w:t>
      </w:r>
    </w:p>
    <w:p w:rsidR="005D612C" w:rsidRDefault="005D612C" w:rsidP="005D612C">
      <w:pPr>
        <w:spacing w:line="360" w:lineRule="auto"/>
        <w:jc w:val="both"/>
        <w:rPr>
          <w:rFonts w:hint="cs"/>
          <w:b/>
          <w:bCs/>
          <w:rtl/>
        </w:rPr>
      </w:pPr>
    </w:p>
    <w:p w:rsidR="005D612C" w:rsidRDefault="005D612C" w:rsidP="005D612C">
      <w:pPr>
        <w:numPr>
          <w:ilvl w:val="0"/>
          <w:numId w:val="1"/>
        </w:numPr>
        <w:spacing w:after="0" w:line="360" w:lineRule="auto"/>
        <w:jc w:val="both"/>
        <w:rPr>
          <w:rFonts w:hint="cs"/>
        </w:rPr>
      </w:pPr>
      <w:hyperlink r:id="rId10" w:history="1">
        <w:r w:rsidRPr="0057540B">
          <w:rPr>
            <w:rStyle w:val="Hyperlink"/>
            <w:rFonts w:hint="cs"/>
            <w:rtl/>
          </w:rPr>
          <w:t>האגודה לזכויות האזרח</w:t>
        </w:r>
      </w:hyperlink>
      <w:r>
        <w:rPr>
          <w:rFonts w:hint="cs"/>
          <w:rtl/>
        </w:rPr>
        <w:t xml:space="preserve">: ארגון זכויות אדם העוקב אחר פגיעה והפרת זכויות אדם על ידי הרשויות בישראל. באתר ניתן למצוא נתונים עדכניים, ניירות עמדה, מסמכים משפטיים וחומרי רקע בנושא גזענות. </w:t>
      </w:r>
    </w:p>
    <w:p w:rsidR="005D612C" w:rsidRDefault="005D612C" w:rsidP="005D612C">
      <w:pPr>
        <w:numPr>
          <w:ilvl w:val="0"/>
          <w:numId w:val="1"/>
        </w:numPr>
        <w:spacing w:after="0" w:line="360" w:lineRule="auto"/>
        <w:jc w:val="both"/>
        <w:rPr>
          <w:rFonts w:hint="cs"/>
        </w:rPr>
      </w:pPr>
      <w:hyperlink r:id="rId11" w:history="1">
        <w:r>
          <w:rPr>
            <w:rStyle w:val="Hyperlink"/>
            <w:rFonts w:hint="eastAsia"/>
            <w:rtl/>
          </w:rPr>
          <w:t>מרכז</w:t>
        </w:r>
        <w:r>
          <w:rPr>
            <w:rStyle w:val="Hyperlink"/>
            <w:rtl/>
          </w:rPr>
          <w:t xml:space="preserve"> </w:t>
        </w:r>
        <w:proofErr w:type="spellStart"/>
        <w:r>
          <w:rPr>
            <w:rStyle w:val="Hyperlink"/>
            <w:rtl/>
          </w:rPr>
          <w:t>אדוה</w:t>
        </w:r>
        <w:proofErr w:type="spellEnd"/>
      </w:hyperlink>
      <w:r>
        <w:rPr>
          <w:rFonts w:hint="cs"/>
          <w:rtl/>
        </w:rPr>
        <w:t xml:space="preserve">: מכון מחקר העוסק במגמות חברתיות כלכליות בישראל ובמדיניות הממשלתית כלפי מגמות אלה, על פי אמות מידה של צדק ושוויון חברתי. באתר ניתן למצוא ניירות עמדה ומחקרים בנושאים הנוגעים לקבוצות חברתיות שונות, מגדר, חינוך, בריאות, רווחה, דיור ועוד. </w:t>
      </w:r>
    </w:p>
    <w:p w:rsidR="005D612C" w:rsidRDefault="005D612C" w:rsidP="005D612C">
      <w:pPr>
        <w:numPr>
          <w:ilvl w:val="0"/>
          <w:numId w:val="1"/>
        </w:numPr>
        <w:spacing w:after="0" w:line="360" w:lineRule="auto"/>
        <w:jc w:val="both"/>
        <w:rPr>
          <w:rFonts w:hint="cs"/>
        </w:rPr>
      </w:pPr>
      <w:hyperlink r:id="rId12" w:history="1">
        <w:r w:rsidRPr="0057540B">
          <w:rPr>
            <w:rStyle w:val="Hyperlink"/>
            <w:rFonts w:hint="cs"/>
            <w:rtl/>
          </w:rPr>
          <w:t>המטה למאבק בגזענות</w:t>
        </w:r>
      </w:hyperlink>
      <w:r>
        <w:rPr>
          <w:rFonts w:hint="cs"/>
          <w:rtl/>
        </w:rPr>
        <w:t xml:space="preserve">: המטה מורכב מארגונים ואנשים פרטיים, המחויבים למאבק בתופעת הגזענות בישראל. באתר ניתן למצוא את דו"ח הגזענות השנתי שנערך על ידי המטה, מאמרים ועדכונים על אירועים ותקריות גזעניות. </w:t>
      </w:r>
    </w:p>
    <w:p w:rsidR="005D612C" w:rsidRDefault="005D612C" w:rsidP="005D612C">
      <w:pPr>
        <w:numPr>
          <w:ilvl w:val="0"/>
          <w:numId w:val="1"/>
        </w:numPr>
        <w:spacing w:after="0" w:line="360" w:lineRule="auto"/>
        <w:jc w:val="both"/>
        <w:rPr>
          <w:rFonts w:hint="cs"/>
        </w:rPr>
      </w:pPr>
      <w:hyperlink r:id="rId13" w:history="1">
        <w:r w:rsidRPr="00396D25">
          <w:rPr>
            <w:rStyle w:val="Hyperlink"/>
            <w:rFonts w:hint="cs"/>
            <w:rtl/>
          </w:rPr>
          <w:t>מרכז תמורה</w:t>
        </w:r>
      </w:hyperlink>
      <w:r>
        <w:rPr>
          <w:rFonts w:hint="cs"/>
          <w:rtl/>
        </w:rPr>
        <w:t xml:space="preserve">: מרכז משפטי למניעת הפלייה, שמטרתו להיאבק משפטית וחברתית עבור אוכלוסיות מוחלשות בישראל. באתר ניתן למצוא פסקי דין וחומרים נוספים. </w:t>
      </w:r>
    </w:p>
    <w:p w:rsidR="005D612C" w:rsidRDefault="005D612C" w:rsidP="005D612C">
      <w:pPr>
        <w:numPr>
          <w:ilvl w:val="0"/>
          <w:numId w:val="1"/>
        </w:numPr>
        <w:spacing w:after="0" w:line="360" w:lineRule="auto"/>
        <w:jc w:val="both"/>
        <w:rPr>
          <w:rFonts w:hint="cs"/>
        </w:rPr>
      </w:pPr>
      <w:hyperlink r:id="rId14" w:history="1">
        <w:r w:rsidRPr="00910461">
          <w:rPr>
            <w:rStyle w:val="Hyperlink"/>
            <w:rFonts w:hint="cs"/>
            <w:rtl/>
          </w:rPr>
          <w:t>המכון הישראלי לדמוקרטיה</w:t>
        </w:r>
      </w:hyperlink>
      <w:r>
        <w:rPr>
          <w:rFonts w:hint="cs"/>
          <w:rtl/>
        </w:rPr>
        <w:t xml:space="preserve">: פועל לחיזוק יסודות הדמוקרטיה בישראל, במישור המחקרי, יישומי ורעיוני. באתר ישנם חומרים אקדמיים מגוונים. </w:t>
      </w:r>
    </w:p>
    <w:p w:rsidR="005D612C" w:rsidRDefault="005D612C" w:rsidP="005D612C">
      <w:pPr>
        <w:numPr>
          <w:ilvl w:val="0"/>
          <w:numId w:val="1"/>
        </w:numPr>
        <w:spacing w:after="0" w:line="360" w:lineRule="auto"/>
        <w:jc w:val="both"/>
        <w:rPr>
          <w:rFonts w:hint="cs"/>
        </w:rPr>
      </w:pPr>
      <w:hyperlink r:id="rId15" w:history="1">
        <w:r w:rsidRPr="000627B6">
          <w:rPr>
            <w:rStyle w:val="Hyperlink"/>
            <w:rFonts w:hint="cs"/>
            <w:rtl/>
          </w:rPr>
          <w:t>הקשת הדמוקרטית המזרחית</w:t>
        </w:r>
      </w:hyperlink>
      <w:r>
        <w:rPr>
          <w:rFonts w:hint="cs"/>
          <w:rtl/>
        </w:rPr>
        <w:t>: תנועה שמטרתה להשפיע על סדר היום הציבורי ולמנוע פגיעה כלכלית, דיכוי תרבותי ודעות קדומות כלפי האוכלוסייה המזרחית ואוכלוסיות אחרות.</w:t>
      </w:r>
    </w:p>
    <w:p w:rsidR="005D612C" w:rsidRDefault="005D612C" w:rsidP="005D612C">
      <w:pPr>
        <w:numPr>
          <w:ilvl w:val="0"/>
          <w:numId w:val="1"/>
        </w:numPr>
        <w:spacing w:after="0" w:line="360" w:lineRule="auto"/>
        <w:jc w:val="both"/>
      </w:pPr>
      <w:hyperlink r:id="rId16" w:anchor=".Ue5kMtJFDao" w:history="1">
        <w:r w:rsidRPr="00396D25">
          <w:rPr>
            <w:rStyle w:val="Hyperlink"/>
            <w:rtl/>
          </w:rPr>
          <w:t>המרכז הרפורמי לדת ומדינה</w:t>
        </w:r>
      </w:hyperlink>
      <w:r>
        <w:rPr>
          <w:rFonts w:hint="cs"/>
          <w:rtl/>
        </w:rPr>
        <w:t xml:space="preserve">: ארגון המקדם פלורליזם דתי, שוויון וצדק חברתי. באתר ניתן למצוא </w:t>
      </w:r>
      <w:proofErr w:type="spellStart"/>
      <w:r>
        <w:rPr>
          <w:rFonts w:hint="cs"/>
          <w:rtl/>
        </w:rPr>
        <w:t>דוחו"ת</w:t>
      </w:r>
      <w:proofErr w:type="spellEnd"/>
      <w:r>
        <w:rPr>
          <w:rFonts w:hint="cs"/>
          <w:rtl/>
        </w:rPr>
        <w:t xml:space="preserve">, ניירות עמדה, פסיקה, סיפורים אישיים ועוד. </w:t>
      </w:r>
    </w:p>
    <w:p w:rsidR="005D612C" w:rsidRPr="005D612C" w:rsidRDefault="005D612C" w:rsidP="005D612C">
      <w:pPr>
        <w:rPr>
          <w:rFonts w:hint="cs"/>
        </w:rPr>
      </w:pPr>
      <w:bookmarkStart w:id="0" w:name="_GoBack"/>
      <w:bookmarkEnd w:id="0"/>
    </w:p>
    <w:sectPr w:rsidR="005D612C" w:rsidRPr="005D612C" w:rsidSect="00CD78E5">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on-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C4816"/>
    <w:multiLevelType w:val="hybridMultilevel"/>
    <w:tmpl w:val="60A62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EF7E1B"/>
    <w:multiLevelType w:val="hybridMultilevel"/>
    <w:tmpl w:val="DD163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2C"/>
    <w:rsid w:val="005D612C"/>
    <w:rsid w:val="00CD78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612C"/>
    <w:pPr>
      <w:tabs>
        <w:tab w:val="center" w:pos="4153"/>
        <w:tab w:val="right" w:pos="8306"/>
      </w:tabs>
      <w:spacing w:after="0" w:line="240" w:lineRule="auto"/>
    </w:pPr>
    <w:rPr>
      <w:rFonts w:ascii="Times New Roman" w:eastAsia="Times New Roman" w:hAnsi="Times New Roman" w:cs="David"/>
      <w:sz w:val="24"/>
      <w:szCs w:val="24"/>
    </w:rPr>
  </w:style>
  <w:style w:type="character" w:customStyle="1" w:styleId="a4">
    <w:name w:val="כותרת עליונה תו"/>
    <w:basedOn w:val="a0"/>
    <w:link w:val="a3"/>
    <w:rsid w:val="005D612C"/>
    <w:rPr>
      <w:rFonts w:ascii="Times New Roman" w:eastAsia="Times New Roman" w:hAnsi="Times New Roman" w:cs="David"/>
      <w:sz w:val="24"/>
      <w:szCs w:val="24"/>
    </w:rPr>
  </w:style>
  <w:style w:type="paragraph" w:styleId="a5">
    <w:name w:val="Balloon Text"/>
    <w:basedOn w:val="a"/>
    <w:link w:val="a6"/>
    <w:uiPriority w:val="99"/>
    <w:semiHidden/>
    <w:unhideWhenUsed/>
    <w:rsid w:val="005D612C"/>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5D612C"/>
    <w:rPr>
      <w:rFonts w:ascii="Tahoma" w:hAnsi="Tahoma" w:cs="Tahoma"/>
      <w:sz w:val="16"/>
      <w:szCs w:val="16"/>
    </w:rPr>
  </w:style>
  <w:style w:type="character" w:styleId="Hyperlink">
    <w:name w:val="Hyperlink"/>
    <w:rsid w:val="005D612C"/>
    <w:rPr>
      <w:rFonts w:cs="Arial"/>
      <w:color w:val="0000FF"/>
      <w:szCs w:val="20"/>
      <w:u w:val="single" w:color="0000FF"/>
    </w:rPr>
  </w:style>
  <w:style w:type="paragraph" w:styleId="a7">
    <w:name w:val="List Paragraph"/>
    <w:basedOn w:val="a"/>
    <w:qFormat/>
    <w:rsid w:val="005D612C"/>
    <w:pPr>
      <w:spacing w:after="0" w:line="240" w:lineRule="auto"/>
      <w:ind w:left="720"/>
      <w:contextualSpacing/>
    </w:pPr>
    <w:rPr>
      <w:rFonts w:ascii="Times New Roman" w:eastAsia="Calibri" w:hAnsi="Times New Roman" w:cs="Dav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612C"/>
    <w:pPr>
      <w:tabs>
        <w:tab w:val="center" w:pos="4153"/>
        <w:tab w:val="right" w:pos="8306"/>
      </w:tabs>
      <w:spacing w:after="0" w:line="240" w:lineRule="auto"/>
    </w:pPr>
    <w:rPr>
      <w:rFonts w:ascii="Times New Roman" w:eastAsia="Times New Roman" w:hAnsi="Times New Roman" w:cs="David"/>
      <w:sz w:val="24"/>
      <w:szCs w:val="24"/>
    </w:rPr>
  </w:style>
  <w:style w:type="character" w:customStyle="1" w:styleId="a4">
    <w:name w:val="כותרת עליונה תו"/>
    <w:basedOn w:val="a0"/>
    <w:link w:val="a3"/>
    <w:rsid w:val="005D612C"/>
    <w:rPr>
      <w:rFonts w:ascii="Times New Roman" w:eastAsia="Times New Roman" w:hAnsi="Times New Roman" w:cs="David"/>
      <w:sz w:val="24"/>
      <w:szCs w:val="24"/>
    </w:rPr>
  </w:style>
  <w:style w:type="paragraph" w:styleId="a5">
    <w:name w:val="Balloon Text"/>
    <w:basedOn w:val="a"/>
    <w:link w:val="a6"/>
    <w:uiPriority w:val="99"/>
    <w:semiHidden/>
    <w:unhideWhenUsed/>
    <w:rsid w:val="005D612C"/>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5D612C"/>
    <w:rPr>
      <w:rFonts w:ascii="Tahoma" w:hAnsi="Tahoma" w:cs="Tahoma"/>
      <w:sz w:val="16"/>
      <w:szCs w:val="16"/>
    </w:rPr>
  </w:style>
  <w:style w:type="character" w:styleId="Hyperlink">
    <w:name w:val="Hyperlink"/>
    <w:rsid w:val="005D612C"/>
    <w:rPr>
      <w:rFonts w:cs="Arial"/>
      <w:color w:val="0000FF"/>
      <w:szCs w:val="20"/>
      <w:u w:val="single" w:color="0000FF"/>
    </w:rPr>
  </w:style>
  <w:style w:type="paragraph" w:styleId="a7">
    <w:name w:val="List Paragraph"/>
    <w:basedOn w:val="a"/>
    <w:qFormat/>
    <w:rsid w:val="005D612C"/>
    <w:pPr>
      <w:spacing w:after="0" w:line="240" w:lineRule="auto"/>
      <w:ind w:left="720"/>
      <w:contextualSpacing/>
    </w:pPr>
    <w:rPr>
      <w:rFonts w:ascii="Times New Roman" w:eastAsia="Calibri"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itution.org.il/index.php?option=com_consti_comp&amp;class=1&amp;mytask=view&amp;id=1207" TargetMode="External"/><Relationship Id="rId13" Type="http://schemas.openxmlformats.org/officeDocument/2006/relationships/hyperlink" Target="http://www.tmura.org.il/index.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titution.org.il/index.php?option=com_consti_comp&amp;class=1&amp;mytask=view&amp;id=1204" TargetMode="External"/><Relationship Id="rId12" Type="http://schemas.openxmlformats.org/officeDocument/2006/relationships/hyperlink" Target="http://www.fightracism.org/index.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atumedina.org.il/index.asp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dva.org/default.asp?pageid=4" TargetMode="External"/><Relationship Id="rId5" Type="http://schemas.openxmlformats.org/officeDocument/2006/relationships/webSettings" Target="webSettings.xml"/><Relationship Id="rId15" Type="http://schemas.openxmlformats.org/officeDocument/2006/relationships/hyperlink" Target="http://www.ha-keshet.org.il/" TargetMode="External"/><Relationship Id="rId10" Type="http://schemas.openxmlformats.org/officeDocument/2006/relationships/hyperlink" Target="http://www.acri.org.il/he/?p=26279" TargetMode="External"/><Relationship Id="rId4" Type="http://schemas.openxmlformats.org/officeDocument/2006/relationships/settings" Target="settings.xml"/><Relationship Id="rId9" Type="http://schemas.openxmlformats.org/officeDocument/2006/relationships/hyperlink" Target="http://www.nevo.co.il/psika_word/elyon/padi-nh-4-094-l.doc" TargetMode="External"/><Relationship Id="rId14" Type="http://schemas.openxmlformats.org/officeDocument/2006/relationships/hyperlink" Target="http://www.idi.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2806</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Yonatan Yakir</dc:creator>
  <cp:keywords/>
  <dc:description/>
  <cp:lastModifiedBy>Yonatan Yakir</cp:lastModifiedBy>
  <cp:revision>1</cp:revision>
  <dcterms:created xsi:type="dcterms:W3CDTF">2013-11-21T09:45:00Z</dcterms:created>
  <dcterms:modified xsi:type="dcterms:W3CDTF">2013-11-21T09:46:00Z</dcterms:modified>
</cp:coreProperties>
</file>