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F91" w:rsidRDefault="00CE0F91" w:rsidP="00CE0F91">
      <w:pPr>
        <w:pStyle w:val="a3"/>
        <w:jc w:val="center"/>
      </w:pPr>
      <w:r>
        <w:rPr>
          <w:noProof/>
        </w:rPr>
        <w:drawing>
          <wp:inline distT="0" distB="0" distL="0" distR="0">
            <wp:extent cx="3752850" cy="80010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2850" cy="800100"/>
                    </a:xfrm>
                    <a:prstGeom prst="rect">
                      <a:avLst/>
                    </a:prstGeom>
                    <a:noFill/>
                    <a:ln>
                      <a:noFill/>
                    </a:ln>
                  </pic:spPr>
                </pic:pic>
              </a:graphicData>
            </a:graphic>
          </wp:inline>
        </w:drawing>
      </w:r>
    </w:p>
    <w:p w:rsidR="004A2A50" w:rsidRDefault="00580895" w:rsidP="00CE0F91">
      <w:pPr>
        <w:jc w:val="center"/>
        <w:rPr>
          <w:rFonts w:hint="cs"/>
          <w:rtl/>
        </w:rPr>
      </w:pPr>
    </w:p>
    <w:p w:rsidR="00CE0F91" w:rsidRDefault="00CE0F91" w:rsidP="00CE0F91">
      <w:pPr>
        <w:jc w:val="center"/>
        <w:rPr>
          <w:rFonts w:hint="cs"/>
          <w:rtl/>
        </w:rPr>
      </w:pPr>
      <w:r>
        <w:rPr>
          <w:rFonts w:hint="cs"/>
          <w:b/>
          <w:bCs/>
          <w:sz w:val="28"/>
          <w:szCs w:val="28"/>
          <w:u w:val="single"/>
          <w:rtl/>
        </w:rPr>
        <w:t xml:space="preserve">מערכי שיעור </w:t>
      </w:r>
      <w:r>
        <w:rPr>
          <w:b/>
          <w:bCs/>
          <w:sz w:val="28"/>
          <w:szCs w:val="28"/>
          <w:u w:val="single"/>
          <w:rtl/>
        </w:rPr>
        <w:t>–</w:t>
      </w:r>
      <w:r>
        <w:rPr>
          <w:rFonts w:hint="cs"/>
          <w:b/>
          <w:bCs/>
          <w:sz w:val="28"/>
          <w:szCs w:val="28"/>
          <w:u w:val="single"/>
          <w:rtl/>
        </w:rPr>
        <w:t xml:space="preserve"> פתיחה לנושא הגזענות</w:t>
      </w:r>
    </w:p>
    <w:p w:rsidR="00CE0F91" w:rsidRDefault="00CE0F91" w:rsidP="00CE0F91">
      <w:pPr>
        <w:spacing w:line="360" w:lineRule="auto"/>
        <w:jc w:val="both"/>
        <w:rPr>
          <w:rFonts w:hint="cs"/>
          <w:b/>
          <w:bCs/>
          <w:sz w:val="28"/>
          <w:szCs w:val="28"/>
          <w:u w:val="single"/>
          <w:rtl/>
        </w:rPr>
      </w:pPr>
    </w:p>
    <w:p w:rsidR="00CE0F91" w:rsidRDefault="00CE0F91" w:rsidP="00CE0F91">
      <w:pPr>
        <w:spacing w:line="360" w:lineRule="auto"/>
        <w:jc w:val="center"/>
        <w:rPr>
          <w:rFonts w:hint="cs"/>
          <w:b/>
          <w:bCs/>
          <w:sz w:val="28"/>
          <w:szCs w:val="28"/>
          <w:u w:val="single"/>
          <w:rtl/>
        </w:rPr>
      </w:pPr>
      <w:r w:rsidRPr="00FF1D69">
        <w:rPr>
          <w:rFonts w:hint="cs"/>
          <w:b/>
          <w:bCs/>
          <w:sz w:val="28"/>
          <w:szCs w:val="28"/>
          <w:u w:val="single"/>
          <w:rtl/>
        </w:rPr>
        <w:t>שיעור ראשון</w:t>
      </w:r>
      <w:r w:rsidR="00A05631">
        <w:rPr>
          <w:rFonts w:hint="cs"/>
          <w:b/>
          <w:bCs/>
          <w:sz w:val="28"/>
          <w:szCs w:val="28"/>
          <w:u w:val="single"/>
          <w:rtl/>
        </w:rPr>
        <w:t>- שוני כבסיס לגזענות</w:t>
      </w:r>
    </w:p>
    <w:p w:rsidR="005913E3" w:rsidRPr="00FF1D69" w:rsidRDefault="005913E3" w:rsidP="00CE0F91">
      <w:pPr>
        <w:spacing w:line="360" w:lineRule="auto"/>
        <w:jc w:val="center"/>
        <w:rPr>
          <w:rFonts w:hint="cs"/>
          <w:b/>
          <w:bCs/>
          <w:sz w:val="28"/>
          <w:szCs w:val="28"/>
          <w:u w:val="single"/>
          <w:rtl/>
        </w:rPr>
      </w:pPr>
    </w:p>
    <w:p w:rsidR="00CE0F91" w:rsidRDefault="00CE0F91" w:rsidP="00CE0F91">
      <w:pPr>
        <w:spacing w:line="360" w:lineRule="auto"/>
        <w:jc w:val="both"/>
        <w:rPr>
          <w:rFonts w:hint="cs"/>
          <w:rtl/>
        </w:rPr>
      </w:pPr>
      <w:r>
        <w:rPr>
          <w:rFonts w:hint="cs"/>
          <w:rtl/>
        </w:rPr>
        <w:t xml:space="preserve">משך השיעור </w:t>
      </w:r>
      <w:r>
        <w:rPr>
          <w:rtl/>
        </w:rPr>
        <w:t>–</w:t>
      </w:r>
      <w:r>
        <w:rPr>
          <w:rFonts w:hint="cs"/>
          <w:rtl/>
        </w:rPr>
        <w:t xml:space="preserve"> 45 דקות</w:t>
      </w:r>
    </w:p>
    <w:p w:rsidR="00CE0F91" w:rsidRDefault="00CE0F91" w:rsidP="00CE0F91">
      <w:pPr>
        <w:spacing w:line="360" w:lineRule="auto"/>
        <w:jc w:val="both"/>
        <w:rPr>
          <w:rFonts w:hint="cs"/>
          <w:rtl/>
        </w:rPr>
      </w:pPr>
      <w:r>
        <w:rPr>
          <w:rFonts w:hint="cs"/>
          <w:rtl/>
        </w:rPr>
        <w:t xml:space="preserve">קהל היעד </w:t>
      </w:r>
      <w:r>
        <w:rPr>
          <w:rtl/>
        </w:rPr>
        <w:t>–</w:t>
      </w:r>
      <w:r>
        <w:rPr>
          <w:rFonts w:hint="cs"/>
          <w:rtl/>
        </w:rPr>
        <w:t xml:space="preserve"> תלמידי יא'/</w:t>
      </w:r>
      <w:proofErr w:type="spellStart"/>
      <w:r>
        <w:rPr>
          <w:rFonts w:hint="cs"/>
          <w:rtl/>
        </w:rPr>
        <w:t>יב</w:t>
      </w:r>
      <w:proofErr w:type="spellEnd"/>
      <w:r>
        <w:rPr>
          <w:rFonts w:hint="cs"/>
          <w:rtl/>
        </w:rPr>
        <w:t>' המתעתדים לכתוב מטלת ביצוע באזרחות</w:t>
      </w:r>
    </w:p>
    <w:p w:rsidR="00CE0F91" w:rsidRDefault="00CE0F91" w:rsidP="00CE0F91">
      <w:pPr>
        <w:spacing w:line="360" w:lineRule="auto"/>
        <w:jc w:val="both"/>
        <w:rPr>
          <w:rFonts w:hint="cs"/>
          <w:rtl/>
        </w:rPr>
      </w:pPr>
      <w:r>
        <w:rPr>
          <w:rFonts w:hint="cs"/>
          <w:rtl/>
        </w:rPr>
        <w:t xml:space="preserve">מיקום השיעור </w:t>
      </w:r>
      <w:r>
        <w:rPr>
          <w:rtl/>
        </w:rPr>
        <w:t>–</w:t>
      </w:r>
      <w:r>
        <w:rPr>
          <w:rFonts w:hint="cs"/>
          <w:rtl/>
        </w:rPr>
        <w:t xml:space="preserve"> פתיח לנושא גזענות, השיעור הראשון במסגרת מטלת הביצוע</w:t>
      </w:r>
    </w:p>
    <w:p w:rsidR="00CE0F91" w:rsidRDefault="00CE0F91" w:rsidP="00CE0F91">
      <w:pPr>
        <w:spacing w:line="360" w:lineRule="auto"/>
        <w:jc w:val="both"/>
        <w:rPr>
          <w:rFonts w:hint="cs"/>
          <w:rtl/>
        </w:rPr>
      </w:pPr>
      <w:r>
        <w:rPr>
          <w:rFonts w:hint="cs"/>
          <w:rtl/>
        </w:rPr>
        <w:t xml:space="preserve">עזרים נדרשים </w:t>
      </w:r>
      <w:r>
        <w:rPr>
          <w:rtl/>
        </w:rPr>
        <w:t>–</w:t>
      </w:r>
      <w:r>
        <w:rPr>
          <w:rFonts w:hint="cs"/>
          <w:rtl/>
        </w:rPr>
        <w:t xml:space="preserve"> מקרן או לוח חכם להקרנת סרטון</w:t>
      </w:r>
    </w:p>
    <w:p w:rsidR="00CE0F91" w:rsidRDefault="00CE0F91" w:rsidP="00CE0F91">
      <w:pPr>
        <w:spacing w:line="360" w:lineRule="auto"/>
        <w:jc w:val="both"/>
        <w:rPr>
          <w:rFonts w:hint="cs"/>
          <w:rtl/>
        </w:rPr>
      </w:pPr>
    </w:p>
    <w:p w:rsidR="00CE0F91" w:rsidRDefault="00CE0F91" w:rsidP="00CE0F91">
      <w:pPr>
        <w:spacing w:line="360" w:lineRule="auto"/>
        <w:jc w:val="both"/>
        <w:rPr>
          <w:rFonts w:hint="cs"/>
          <w:u w:val="single"/>
          <w:rtl/>
        </w:rPr>
      </w:pPr>
      <w:r>
        <w:rPr>
          <w:rFonts w:hint="cs"/>
          <w:u w:val="single"/>
          <w:rtl/>
        </w:rPr>
        <w:t xml:space="preserve">הפעלה ראשונה </w:t>
      </w:r>
      <w:r>
        <w:rPr>
          <w:u w:val="single"/>
          <w:rtl/>
        </w:rPr>
        <w:t>–</w:t>
      </w:r>
      <w:r>
        <w:rPr>
          <w:rFonts w:hint="cs"/>
          <w:u w:val="single"/>
          <w:rtl/>
        </w:rPr>
        <w:t xml:space="preserve"> עיניים חומות / עיניים כחולות</w:t>
      </w:r>
    </w:p>
    <w:p w:rsidR="00CE0F91" w:rsidRDefault="00CE0F91" w:rsidP="00CE0F91">
      <w:pPr>
        <w:spacing w:line="360" w:lineRule="auto"/>
        <w:jc w:val="both"/>
        <w:rPr>
          <w:rFonts w:hint="cs"/>
          <w:rtl/>
        </w:rPr>
      </w:pPr>
      <w:r>
        <w:rPr>
          <w:rFonts w:hint="cs"/>
          <w:rtl/>
        </w:rPr>
        <w:t xml:space="preserve">מקרינים בפני התלמידים את הסרטון </w:t>
      </w:r>
      <w:hyperlink r:id="rId7" w:history="1">
        <w:r>
          <w:rPr>
            <w:rStyle w:val="Hyperlink"/>
            <w:rFonts w:ascii="Arial" w:hAnsi="Arial"/>
            <w:color w:val="7BC144"/>
            <w:bdr w:val="none" w:sz="0" w:space="0" w:color="auto" w:frame="1"/>
            <w:shd w:val="clear" w:color="auto" w:fill="FFFFFF"/>
          </w:rPr>
          <w:t xml:space="preserve"> "</w:t>
        </w:r>
        <w:r>
          <w:rPr>
            <w:rStyle w:val="Hyperlink"/>
            <w:rFonts w:ascii="Arial" w:hAnsi="Arial"/>
            <w:color w:val="7BC144"/>
            <w:bdr w:val="none" w:sz="0" w:space="0" w:color="auto" w:frame="1"/>
            <w:shd w:val="clear" w:color="auto" w:fill="FFFFFF"/>
            <w:rtl/>
          </w:rPr>
          <w:t>עיניים חומות/עיניים כ</w:t>
        </w:r>
        <w:r>
          <w:rPr>
            <w:rStyle w:val="Hyperlink"/>
            <w:rFonts w:ascii="Arial" w:hAnsi="Arial"/>
            <w:color w:val="7BC144"/>
            <w:bdr w:val="none" w:sz="0" w:space="0" w:color="auto" w:frame="1"/>
            <w:shd w:val="clear" w:color="auto" w:fill="FFFFFF"/>
            <w:rtl/>
          </w:rPr>
          <w:t>ח</w:t>
        </w:r>
        <w:r>
          <w:rPr>
            <w:rStyle w:val="Hyperlink"/>
            <w:rFonts w:ascii="Arial" w:hAnsi="Arial"/>
            <w:color w:val="7BC144"/>
            <w:bdr w:val="none" w:sz="0" w:space="0" w:color="auto" w:frame="1"/>
            <w:shd w:val="clear" w:color="auto" w:fill="FFFFFF"/>
            <w:rtl/>
          </w:rPr>
          <w:t>ולות – ג'יין אליוט</w:t>
        </w:r>
        <w:r>
          <w:rPr>
            <w:rStyle w:val="Hyperlink"/>
            <w:rFonts w:ascii="Arial" w:hAnsi="Arial"/>
            <w:color w:val="7BC144"/>
            <w:bdr w:val="none" w:sz="0" w:space="0" w:color="auto" w:frame="1"/>
            <w:shd w:val="clear" w:color="auto" w:fill="FFFFFF"/>
          </w:rPr>
          <w:t>",</w:t>
        </w:r>
      </w:hyperlink>
      <w:r>
        <w:rPr>
          <w:rFonts w:hint="cs"/>
          <w:rtl/>
        </w:rPr>
        <w:t xml:space="preserve">, עוצרים את הסרטון בדקה 06:36, לפני דברי הסיכום של הפסיכולוג פיליפ </w:t>
      </w:r>
      <w:proofErr w:type="spellStart"/>
      <w:r>
        <w:rPr>
          <w:rFonts w:hint="cs"/>
          <w:rtl/>
        </w:rPr>
        <w:t>זימברדו</w:t>
      </w:r>
      <w:proofErr w:type="spellEnd"/>
      <w:r>
        <w:rPr>
          <w:rFonts w:hint="cs"/>
          <w:rtl/>
        </w:rPr>
        <w:t xml:space="preserve">. </w:t>
      </w:r>
    </w:p>
    <w:p w:rsidR="00CE0F91" w:rsidRDefault="00CE0F91" w:rsidP="00CE0F91">
      <w:pPr>
        <w:spacing w:line="360" w:lineRule="auto"/>
        <w:jc w:val="both"/>
        <w:rPr>
          <w:rFonts w:hint="cs"/>
          <w:rtl/>
        </w:rPr>
      </w:pPr>
      <w:r>
        <w:rPr>
          <w:rFonts w:hint="cs"/>
          <w:rtl/>
        </w:rPr>
        <w:t xml:space="preserve">הסרטון מתאר ניסוי שערכה ג'יין אליוט עם תלמידיה בשנות ה-60. במסגרת הניסוי חילקה אליוט את התלמידים לבעלי עיניים כחולות וחומות, כאשר בתחילה הבהירה לתלמידים כי בעלי העיניים הכחולות הם עליונים ובעלי העיניים החומות הם נחותים, ולאחר מכן החליפה בין הקבוצות. הסרטון מראה כיצד הקבוצה שחשה עליונה שינתה את התנהגותה כלפי הקבוצה ה"נחותה", בתוך זמן קצר ביותר. אורך הסרטון המלא </w:t>
      </w:r>
      <w:r>
        <w:rPr>
          <w:rtl/>
        </w:rPr>
        <w:t>–</w:t>
      </w:r>
      <w:r>
        <w:rPr>
          <w:rFonts w:hint="cs"/>
          <w:rtl/>
        </w:rPr>
        <w:t xml:space="preserve"> 10 דקות. בשלב הראשון צופים עד דקה 06:36.</w:t>
      </w:r>
    </w:p>
    <w:p w:rsidR="00CE0F91" w:rsidRDefault="00CE0F91" w:rsidP="00CE0F91">
      <w:pPr>
        <w:spacing w:line="360" w:lineRule="auto"/>
        <w:jc w:val="both"/>
        <w:rPr>
          <w:rFonts w:hint="cs"/>
          <w:rtl/>
        </w:rPr>
      </w:pPr>
    </w:p>
    <w:p w:rsidR="00CE0F91" w:rsidRDefault="00CE0F91" w:rsidP="00CE0F91">
      <w:pPr>
        <w:spacing w:line="360" w:lineRule="auto"/>
        <w:jc w:val="both"/>
        <w:rPr>
          <w:rFonts w:hint="cs"/>
          <w:u w:val="single"/>
          <w:rtl/>
        </w:rPr>
      </w:pPr>
      <w:r>
        <w:rPr>
          <w:rFonts w:hint="cs"/>
          <w:u w:val="single"/>
          <w:rtl/>
        </w:rPr>
        <w:t xml:space="preserve">שאלות </w:t>
      </w:r>
      <w:r w:rsidRPr="00781879">
        <w:rPr>
          <w:rFonts w:hint="cs"/>
          <w:u w:val="single"/>
          <w:rtl/>
        </w:rPr>
        <w:t xml:space="preserve">דיון </w:t>
      </w:r>
      <w:r w:rsidRPr="00781879">
        <w:rPr>
          <w:u w:val="single"/>
          <w:rtl/>
        </w:rPr>
        <w:t>–</w:t>
      </w:r>
      <w:r w:rsidRPr="00781879">
        <w:rPr>
          <w:rFonts w:hint="cs"/>
          <w:u w:val="single"/>
          <w:rtl/>
        </w:rPr>
        <w:t xml:space="preserve"> </w:t>
      </w:r>
      <w:r>
        <w:rPr>
          <w:rFonts w:hint="cs"/>
          <w:u w:val="single"/>
          <w:rtl/>
        </w:rPr>
        <w:t>15</w:t>
      </w:r>
      <w:r w:rsidRPr="00781879">
        <w:rPr>
          <w:rFonts w:hint="cs"/>
          <w:u w:val="single"/>
          <w:rtl/>
        </w:rPr>
        <w:t xml:space="preserve"> דקות</w:t>
      </w:r>
    </w:p>
    <w:p w:rsidR="00CE0F91" w:rsidRPr="00781879" w:rsidRDefault="00CE0F91" w:rsidP="00CE0F91">
      <w:pPr>
        <w:numPr>
          <w:ilvl w:val="0"/>
          <w:numId w:val="1"/>
        </w:numPr>
        <w:spacing w:after="0" w:line="360" w:lineRule="auto"/>
        <w:jc w:val="both"/>
        <w:rPr>
          <w:rFonts w:hint="cs"/>
          <w:sz w:val="20"/>
          <w:szCs w:val="20"/>
        </w:rPr>
      </w:pPr>
      <w:r>
        <w:rPr>
          <w:rFonts w:hint="cs"/>
          <w:rtl/>
        </w:rPr>
        <w:t>איך הייתם מתארים את התהליך שעברו הילדים בסרטון? מה ה</w:t>
      </w:r>
      <w:r w:rsidR="008808EC">
        <w:rPr>
          <w:rFonts w:hint="cs"/>
          <w:rtl/>
        </w:rPr>
        <w:t>י</w:t>
      </w:r>
      <w:r>
        <w:rPr>
          <w:rFonts w:hint="cs"/>
          <w:rtl/>
        </w:rPr>
        <w:t xml:space="preserve">יתה התופעה שהתרחשה כאשר הילדים בעלי העיניים הכחולות השתכנעו שהם טובים יותר מאחרים? </w:t>
      </w:r>
      <w:r w:rsidRPr="00781879">
        <w:rPr>
          <w:rFonts w:hint="cs"/>
          <w:sz w:val="20"/>
          <w:szCs w:val="20"/>
          <w:rtl/>
        </w:rPr>
        <w:t xml:space="preserve">תשובה אפשרית </w:t>
      </w:r>
      <w:r w:rsidRPr="00781879">
        <w:rPr>
          <w:sz w:val="20"/>
          <w:szCs w:val="20"/>
          <w:rtl/>
        </w:rPr>
        <w:t>–</w:t>
      </w:r>
      <w:r w:rsidRPr="00781879">
        <w:rPr>
          <w:rFonts w:hint="cs"/>
          <w:sz w:val="20"/>
          <w:szCs w:val="20"/>
          <w:rtl/>
        </w:rPr>
        <w:t xml:space="preserve"> תהליך הדרגתי של פילוג והפרדה, עוינות שהביאה לגזענות ואלימות. </w:t>
      </w:r>
    </w:p>
    <w:p w:rsidR="00580895" w:rsidRDefault="00CE0F91" w:rsidP="00580895">
      <w:pPr>
        <w:numPr>
          <w:ilvl w:val="0"/>
          <w:numId w:val="1"/>
        </w:numPr>
        <w:spacing w:after="0" w:line="360" w:lineRule="auto"/>
        <w:jc w:val="both"/>
        <w:rPr>
          <w:rFonts w:hint="cs"/>
        </w:rPr>
      </w:pPr>
      <w:r>
        <w:rPr>
          <w:rFonts w:hint="cs"/>
          <w:rtl/>
        </w:rPr>
        <w:lastRenderedPageBreak/>
        <w:t xml:space="preserve">בסרטון נצפתה התנהגותם של ילדים בבית ספר יסודי. האם לדעתם מבוגרים יגיבו באופן דומה / קל יותר / קשה יותר כאשר ישתכנעו שתכונה מסוימת הופכת אותם לנעלים או הופכת </w:t>
      </w:r>
      <w:r w:rsidR="008808EC">
        <w:rPr>
          <w:rFonts w:hint="cs"/>
          <w:rtl/>
        </w:rPr>
        <w:t>אוכלוסייה</w:t>
      </w:r>
      <w:r>
        <w:rPr>
          <w:rFonts w:hint="cs"/>
          <w:rtl/>
        </w:rPr>
        <w:t xml:space="preserve"> אחרת לנחותה? </w:t>
      </w:r>
    </w:p>
    <w:p w:rsidR="00CE0F91" w:rsidRPr="00781879" w:rsidRDefault="00CE0F91" w:rsidP="00580895">
      <w:pPr>
        <w:numPr>
          <w:ilvl w:val="0"/>
          <w:numId w:val="1"/>
        </w:numPr>
        <w:spacing w:after="0" w:line="360" w:lineRule="auto"/>
        <w:jc w:val="both"/>
        <w:rPr>
          <w:rFonts w:hint="cs"/>
          <w:rtl/>
        </w:rPr>
      </w:pPr>
      <w:bookmarkStart w:id="0" w:name="_GoBack"/>
      <w:bookmarkEnd w:id="0"/>
      <w:r>
        <w:rPr>
          <w:rFonts w:hint="cs"/>
          <w:rtl/>
        </w:rPr>
        <w:t>התכונה שהבדילה בין הילדים בסרטון הי</w:t>
      </w:r>
      <w:r w:rsidR="008808EC">
        <w:rPr>
          <w:rFonts w:hint="cs"/>
          <w:rtl/>
        </w:rPr>
        <w:t>י</w:t>
      </w:r>
      <w:r>
        <w:rPr>
          <w:rFonts w:hint="cs"/>
          <w:rtl/>
        </w:rPr>
        <w:t xml:space="preserve">תה צבע עיניים. כפי שעלה קודם לכן, ההבחנה בין הקבוצות הובילה לגזענות ואפליה כלפי הקבוצה ה"נחותה". אילו הבחנות כאלו אתם מכירים? על סמך אילו תכונות/מאפיינים אנשים מתייחסים כיום באופן גזעני לאחרים? האם ייתכן שתכונה כה פעוטה כמו צבע עיניים תוביל ליחס גזעני? </w:t>
      </w:r>
      <w:r w:rsidRPr="00580895">
        <w:rPr>
          <w:rFonts w:hint="cs"/>
          <w:sz w:val="20"/>
          <w:szCs w:val="20"/>
          <w:rtl/>
        </w:rPr>
        <w:t xml:space="preserve">בסופו של הסרטון הפסיכולוג ד"ר פיליפ </w:t>
      </w:r>
      <w:proofErr w:type="spellStart"/>
      <w:r w:rsidRPr="00580895">
        <w:rPr>
          <w:rFonts w:hint="cs"/>
          <w:sz w:val="20"/>
          <w:szCs w:val="20"/>
          <w:rtl/>
        </w:rPr>
        <w:t>זימברדו</w:t>
      </w:r>
      <w:proofErr w:type="spellEnd"/>
      <w:r w:rsidRPr="00580895">
        <w:rPr>
          <w:rFonts w:hint="cs"/>
          <w:sz w:val="20"/>
          <w:szCs w:val="20"/>
          <w:rtl/>
        </w:rPr>
        <w:t xml:space="preserve"> מוסיף כי בניסויים נוספים שנערכו עלה כי גם תכונה מינורית עוד יותר כמו היכולת לעגל את הלשון, הובילה לתוצאה דומה, כל עוד </w:t>
      </w:r>
      <w:r w:rsidRPr="00580895">
        <w:rPr>
          <w:rFonts w:hint="cs"/>
          <w:b/>
          <w:bCs/>
          <w:sz w:val="20"/>
          <w:szCs w:val="20"/>
          <w:u w:val="single"/>
          <w:rtl/>
        </w:rPr>
        <w:t>על המאפיינים הפיזיים הולבשו תכונות, יכולות וכו' על ידי דמות סמכותית.</w:t>
      </w:r>
      <w:r w:rsidRPr="00580895">
        <w:rPr>
          <w:rFonts w:hint="cs"/>
          <w:sz w:val="20"/>
          <w:szCs w:val="20"/>
          <w:rtl/>
        </w:rPr>
        <w:t xml:space="preserve"> </w:t>
      </w:r>
    </w:p>
    <w:p w:rsidR="00CE0F91" w:rsidRDefault="00CE0F91" w:rsidP="00CE0F91">
      <w:pPr>
        <w:spacing w:line="360" w:lineRule="auto"/>
        <w:jc w:val="both"/>
        <w:rPr>
          <w:rFonts w:hint="cs"/>
          <w:rtl/>
        </w:rPr>
      </w:pPr>
    </w:p>
    <w:p w:rsidR="00CE0F91" w:rsidRDefault="00CE0F91" w:rsidP="00CE0F91">
      <w:pPr>
        <w:spacing w:line="360" w:lineRule="auto"/>
        <w:jc w:val="both"/>
        <w:rPr>
          <w:rFonts w:hint="cs"/>
          <w:rtl/>
        </w:rPr>
      </w:pPr>
      <w:r>
        <w:rPr>
          <w:rFonts w:hint="cs"/>
          <w:u w:val="single"/>
          <w:rtl/>
        </w:rPr>
        <w:t>עתה מקרינים את החלק השני של הסרטון</w:t>
      </w:r>
      <w:r>
        <w:rPr>
          <w:rFonts w:hint="cs"/>
          <w:rtl/>
        </w:rPr>
        <w:t xml:space="preserve"> מדקה 06:36 עד סופו. </w:t>
      </w:r>
    </w:p>
    <w:p w:rsidR="00CE0F91" w:rsidRDefault="00CE0F91" w:rsidP="00CE0F91">
      <w:pPr>
        <w:spacing w:line="360" w:lineRule="auto"/>
        <w:jc w:val="both"/>
        <w:rPr>
          <w:rFonts w:hint="cs"/>
          <w:rtl/>
        </w:rPr>
      </w:pPr>
      <w:proofErr w:type="spellStart"/>
      <w:r w:rsidRPr="00FF1D69">
        <w:rPr>
          <w:rFonts w:hint="cs"/>
          <w:u w:val="single"/>
          <w:rtl/>
        </w:rPr>
        <w:t>זימברדו</w:t>
      </w:r>
      <w:proofErr w:type="spellEnd"/>
      <w:r w:rsidRPr="00FF1D69">
        <w:rPr>
          <w:rFonts w:hint="cs"/>
          <w:u w:val="single"/>
          <w:rtl/>
        </w:rPr>
        <w:t xml:space="preserve"> מאיר ארבע נקודות בהמשך לסרטון, העלו אותן לדיון בכיתה בהמשך לדיון שנערך אחרי הקרנת החלק הראשון של הסרטון</w:t>
      </w:r>
      <w:r>
        <w:rPr>
          <w:rFonts w:hint="cs"/>
          <w:u w:val="single"/>
          <w:rtl/>
        </w:rPr>
        <w:t xml:space="preserve"> (15 דקות)</w:t>
      </w:r>
      <w:r>
        <w:rPr>
          <w:rFonts w:hint="cs"/>
          <w:rtl/>
        </w:rPr>
        <w:t>:</w:t>
      </w:r>
    </w:p>
    <w:p w:rsidR="00CE0F91" w:rsidRDefault="00CE0F91" w:rsidP="00CE0F91">
      <w:pPr>
        <w:numPr>
          <w:ilvl w:val="0"/>
          <w:numId w:val="2"/>
        </w:numPr>
        <w:spacing w:after="0" w:line="360" w:lineRule="auto"/>
        <w:jc w:val="both"/>
        <w:rPr>
          <w:rFonts w:hint="cs"/>
          <w:rtl/>
        </w:rPr>
      </w:pPr>
      <w:r>
        <w:rPr>
          <w:rFonts w:hint="cs"/>
          <w:rtl/>
        </w:rPr>
        <w:t xml:space="preserve">ההבדלים הקטנים ביותר בין בני אדם, כגון צבע עיניים, יכולים להיות בסיס לאפליה, כאשר מקור סמכות כלשהו מייחס להבדלים אלו ערך (למשל, כשהמורה אומרת שעיניים כחולות שוות יותר מעיניים חומות). </w:t>
      </w:r>
      <w:r>
        <w:rPr>
          <w:rFonts w:hint="cs"/>
          <w:rtl/>
        </w:rPr>
        <w:tab/>
      </w:r>
    </w:p>
    <w:p w:rsidR="00CE0F91" w:rsidRDefault="00CE0F91" w:rsidP="00CE0F91">
      <w:pPr>
        <w:numPr>
          <w:ilvl w:val="0"/>
          <w:numId w:val="2"/>
        </w:numPr>
        <w:spacing w:after="0" w:line="360" w:lineRule="auto"/>
        <w:jc w:val="both"/>
        <w:rPr>
          <w:rFonts w:hint="cs"/>
        </w:rPr>
      </w:pPr>
      <w:r>
        <w:rPr>
          <w:rFonts w:hint="cs"/>
          <w:rtl/>
        </w:rPr>
        <w:t>הילדים שחוו את ההשפלה בסיבוב הראשון (לפני החילופים בין הקבוצות) לא למדו מהי חמלה ובמקום זאת למדו מהו כוח. לכן, כשהתהפכו היוצרות ילדים אלו היו כוחניים ואכזריים כלפי הקבוצה השנ</w:t>
      </w:r>
      <w:r w:rsidR="008808EC">
        <w:rPr>
          <w:rFonts w:hint="cs"/>
          <w:rtl/>
        </w:rPr>
        <w:t>י</w:t>
      </w:r>
      <w:r>
        <w:rPr>
          <w:rFonts w:hint="cs"/>
          <w:rtl/>
        </w:rPr>
        <w:t>יה. שאלה מרכזית היא כיצד ללמד בני אדם לבטא חמלה כאשר הם הופכים לבעלי כוח, ולא לבטא נקמה או אכזריות.</w:t>
      </w:r>
    </w:p>
    <w:p w:rsidR="00CE0F91" w:rsidRDefault="00CE0F91" w:rsidP="00CE0F91">
      <w:pPr>
        <w:numPr>
          <w:ilvl w:val="0"/>
          <w:numId w:val="2"/>
        </w:numPr>
        <w:spacing w:after="0" w:line="360" w:lineRule="auto"/>
        <w:jc w:val="both"/>
        <w:rPr>
          <w:rFonts w:hint="cs"/>
        </w:rPr>
      </w:pPr>
      <w:r>
        <w:rPr>
          <w:rFonts w:hint="cs"/>
          <w:rtl/>
        </w:rPr>
        <w:t xml:space="preserve">התלמידים בכיתתה של אליוט נבחנו במתמטיקה ואנגלית מדי יום. הניסוי הראה שכשהילדים היו בקבוצה ה"נחותה" הם השיגו תוצאות נמוכות יותר במבחנים, וכאשר היו בקבוצה ה"עליונה" השיגו תוצאות טובות יותר. כלומר, התפישה העצמית של הילד  - האם הוא חזק או חלש </w:t>
      </w:r>
      <w:r>
        <w:rPr>
          <w:rtl/>
        </w:rPr>
        <w:t>–</w:t>
      </w:r>
      <w:r>
        <w:rPr>
          <w:rFonts w:hint="cs"/>
          <w:rtl/>
        </w:rPr>
        <w:t xml:space="preserve"> שינתה את היכולות האקדמיות שלו.</w:t>
      </w:r>
    </w:p>
    <w:p w:rsidR="00CE0F91" w:rsidRDefault="00CE0F91" w:rsidP="00CE0F91">
      <w:pPr>
        <w:numPr>
          <w:ilvl w:val="0"/>
          <w:numId w:val="2"/>
        </w:numPr>
        <w:spacing w:after="0" w:line="360" w:lineRule="auto"/>
        <w:jc w:val="both"/>
        <w:rPr>
          <w:rFonts w:hint="cs"/>
          <w:rtl/>
        </w:rPr>
      </w:pPr>
      <w:r>
        <w:rPr>
          <w:rFonts w:hint="cs"/>
          <w:rtl/>
        </w:rPr>
        <w:t xml:space="preserve">אליוט ביצעה את הניסוי במקומות שונים בעולם, והתבססה על מאפיינים שונים להבחנה בין הקבוצות (הבדלים מינימליים ביותר, דוגמת היכולת לגלגל את הלשון). המסקנה היא שכל הבדל, ולו הקטן ביותר בין בני אדם, יכול לשמש בסיס לאפליה, דיכוי והדרה. </w:t>
      </w:r>
    </w:p>
    <w:p w:rsidR="00CE0F91" w:rsidRPr="0053176C" w:rsidRDefault="00CE0F91" w:rsidP="00CE0F91">
      <w:pPr>
        <w:spacing w:line="360" w:lineRule="auto"/>
        <w:jc w:val="both"/>
        <w:rPr>
          <w:rFonts w:hint="cs"/>
          <w:rtl/>
        </w:rPr>
      </w:pPr>
    </w:p>
    <w:p w:rsidR="00CE0F91" w:rsidRDefault="00CE0F91" w:rsidP="00CE0F91">
      <w:pPr>
        <w:jc w:val="center"/>
        <w:rPr>
          <w:rFonts w:hint="cs"/>
        </w:rPr>
      </w:pPr>
    </w:p>
    <w:sectPr w:rsidR="00CE0F91" w:rsidSect="00CD78E5">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973E0"/>
    <w:multiLevelType w:val="hybridMultilevel"/>
    <w:tmpl w:val="34AE7E9C"/>
    <w:lvl w:ilvl="0" w:tplc="8B56F994">
      <w:start w:val="523"/>
      <w:numFmt w:val="bullet"/>
      <w:lvlText w:val="-"/>
      <w:lvlJc w:val="left"/>
      <w:pPr>
        <w:tabs>
          <w:tab w:val="num" w:pos="420"/>
        </w:tabs>
        <w:ind w:left="420" w:hanging="360"/>
      </w:pPr>
      <w:rPr>
        <w:rFonts w:ascii="Times New Roman" w:eastAsia="Times New Roman" w:hAnsi="Times New Roman" w:cs="David"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nsid w:val="4CF10AD0"/>
    <w:multiLevelType w:val="hybridMultilevel"/>
    <w:tmpl w:val="64BA96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F91"/>
    <w:rsid w:val="00580895"/>
    <w:rsid w:val="005913E3"/>
    <w:rsid w:val="008808EC"/>
    <w:rsid w:val="00A05631"/>
    <w:rsid w:val="00CD78E5"/>
    <w:rsid w:val="00CE0F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E0F91"/>
    <w:pPr>
      <w:tabs>
        <w:tab w:val="center" w:pos="4153"/>
        <w:tab w:val="right" w:pos="8306"/>
      </w:tabs>
      <w:spacing w:after="0" w:line="240" w:lineRule="auto"/>
    </w:pPr>
    <w:rPr>
      <w:rFonts w:ascii="Times New Roman" w:eastAsia="Times New Roman" w:hAnsi="Times New Roman" w:cs="David"/>
      <w:sz w:val="24"/>
      <w:szCs w:val="24"/>
    </w:rPr>
  </w:style>
  <w:style w:type="character" w:customStyle="1" w:styleId="a4">
    <w:name w:val="כותרת עליונה תו"/>
    <w:basedOn w:val="a0"/>
    <w:link w:val="a3"/>
    <w:rsid w:val="00CE0F91"/>
    <w:rPr>
      <w:rFonts w:ascii="Times New Roman" w:eastAsia="Times New Roman" w:hAnsi="Times New Roman" w:cs="David"/>
      <w:sz w:val="24"/>
      <w:szCs w:val="24"/>
    </w:rPr>
  </w:style>
  <w:style w:type="paragraph" w:styleId="a5">
    <w:name w:val="Balloon Text"/>
    <w:basedOn w:val="a"/>
    <w:link w:val="a6"/>
    <w:uiPriority w:val="99"/>
    <w:semiHidden/>
    <w:unhideWhenUsed/>
    <w:rsid w:val="00CE0F91"/>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CE0F91"/>
    <w:rPr>
      <w:rFonts w:ascii="Tahoma" w:hAnsi="Tahoma" w:cs="Tahoma"/>
      <w:sz w:val="16"/>
      <w:szCs w:val="16"/>
    </w:rPr>
  </w:style>
  <w:style w:type="character" w:styleId="Hyperlink">
    <w:name w:val="Hyperlink"/>
    <w:rsid w:val="00CE0F91"/>
    <w:rPr>
      <w:rFonts w:cs="Arial"/>
      <w:color w:val="0000FF"/>
      <w:szCs w:val="20"/>
      <w:u w:val="single" w:color="0000FF"/>
    </w:rPr>
  </w:style>
  <w:style w:type="character" w:styleId="FollowedHyperlink">
    <w:name w:val="FollowedHyperlink"/>
    <w:basedOn w:val="a0"/>
    <w:uiPriority w:val="99"/>
    <w:semiHidden/>
    <w:unhideWhenUsed/>
    <w:rsid w:val="00CE0F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E0F91"/>
    <w:pPr>
      <w:tabs>
        <w:tab w:val="center" w:pos="4153"/>
        <w:tab w:val="right" w:pos="8306"/>
      </w:tabs>
      <w:spacing w:after="0" w:line="240" w:lineRule="auto"/>
    </w:pPr>
    <w:rPr>
      <w:rFonts w:ascii="Times New Roman" w:eastAsia="Times New Roman" w:hAnsi="Times New Roman" w:cs="David"/>
      <w:sz w:val="24"/>
      <w:szCs w:val="24"/>
    </w:rPr>
  </w:style>
  <w:style w:type="character" w:customStyle="1" w:styleId="a4">
    <w:name w:val="כותרת עליונה תו"/>
    <w:basedOn w:val="a0"/>
    <w:link w:val="a3"/>
    <w:rsid w:val="00CE0F91"/>
    <w:rPr>
      <w:rFonts w:ascii="Times New Roman" w:eastAsia="Times New Roman" w:hAnsi="Times New Roman" w:cs="David"/>
      <w:sz w:val="24"/>
      <w:szCs w:val="24"/>
    </w:rPr>
  </w:style>
  <w:style w:type="paragraph" w:styleId="a5">
    <w:name w:val="Balloon Text"/>
    <w:basedOn w:val="a"/>
    <w:link w:val="a6"/>
    <w:uiPriority w:val="99"/>
    <w:semiHidden/>
    <w:unhideWhenUsed/>
    <w:rsid w:val="00CE0F91"/>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CE0F91"/>
    <w:rPr>
      <w:rFonts w:ascii="Tahoma" w:hAnsi="Tahoma" w:cs="Tahoma"/>
      <w:sz w:val="16"/>
      <w:szCs w:val="16"/>
    </w:rPr>
  </w:style>
  <w:style w:type="character" w:styleId="Hyperlink">
    <w:name w:val="Hyperlink"/>
    <w:rsid w:val="00CE0F91"/>
    <w:rPr>
      <w:rFonts w:cs="Arial"/>
      <w:color w:val="0000FF"/>
      <w:szCs w:val="20"/>
      <w:u w:val="single" w:color="0000FF"/>
    </w:rPr>
  </w:style>
  <w:style w:type="character" w:styleId="FollowedHyperlink">
    <w:name w:val="FollowedHyperlink"/>
    <w:basedOn w:val="a0"/>
    <w:uiPriority w:val="99"/>
    <w:semiHidden/>
    <w:unhideWhenUsed/>
    <w:rsid w:val="00CE0F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outube.com/watch?v=Hqp6GnYqIj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500</Words>
  <Characters>2505</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Yonatan Yakir</dc:creator>
  <cp:keywords/>
  <dc:description/>
  <cp:lastModifiedBy>Yonatan Yakir</cp:lastModifiedBy>
  <cp:revision>4</cp:revision>
  <dcterms:created xsi:type="dcterms:W3CDTF">2013-11-21T08:40:00Z</dcterms:created>
  <dcterms:modified xsi:type="dcterms:W3CDTF">2013-11-21T09:12:00Z</dcterms:modified>
</cp:coreProperties>
</file>